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քաղաքապետարանի կարիքների համար ցանցի արդիականացման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քաղաքապետարանի կարիքների համար ցանցի արդիականացման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քաղաքապետարանի կարիքների համար ցանցի արդիականացման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քաղաքապետարանի կարիքների համար ցանցի արդիականացման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արդիականացում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478.42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«ԵՔ-ԷԱՃԱՊՁԲ-21/47»*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«ԵՔ-ԷԱՃԱՊՁԲ-21/47»*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ԵՔ-ԷԱՃԱՊՁԲ-21/47</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Պատվիրատուի իրավունքներն ու պարտականությունները իրականացնում է  Երևանի քաղաքապետարանի  աշխատակազմը գործերի կառավարման և սպասարկման վարչությունը ։</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արդիականացում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Նկարագրություն
Ներքին ցանցի արդիականացում
Անհրաժեշտ է․
- շենքի տարբեր հարկերում տեղադրել թվով 12 հատ կոմուտացիոն պահարան 6U բարձրությամբ 450-600մմ խորությամբ, ապակյա դռով։ 
- մատակարարել, տեղադրել, նախնական կոնֆիգուրացնել, համակցել առկա համակարգչային ցանցին թվով 16 հատ կոմուտատորներ, , որոնց նվազագույն տեխնիկական բնութագրերը բերված են Աղյուսակ 1-ում։
- նոր կոմուտատորների տեղադրումից հետո անհրաժեշտ է բաժանորդների միացումները տեղափոխել հին սարքերից նորերին, տեղադրել առկա անխափան սնուցման սարքերը նոր պահարաններում, կատարել անհրաժեշտ միացումները,  ապամոնտաժել հին արկղերն ու կոմուտատորները, 
- մատակարարը պետք է մատակարարի նաև ցանցային բարձրորակ համակցման մալուխներ գործարանային արտադրության հետևյալ տեսակների․ (ընդունելի արտադրողներն են Nexans, AMP, Panduit, Molex կամ նույն կարգի և որակի արտադրանք ունեցողները)․
1.	60 հատ 5e կատեգորիայի UTP տեսակի, 1մ երկարությամբ, 24AWG, համակցման գլխիկների ամրակները պաշտպանված պատահական վնասվելուց
2.	100 հատ 5e կատեգորիայի UTP տեսակի, 3մ երկարությամբ, 24AWG, համակցման գլխիկների ամրակները պաշտպանված պատահական վնասվելուց
3.	40 հատ 5e կատեգորիայի UTP տեսակի, 5մ երկարությամբ, 24AWG, համակցման գլխիկների ամրակները պաշտպանված պատահական վնասվելուց
Վերոնշյալ բոլոր աշխատանքների իրականացումը մատակարարը պետք է համաձայնեցնի պատվիրատուի հետ::
–	Բոլոր ապրանքները պետք է լինեն նոր, գործարանային փաթեթավորմամբ, չօգտագործված։
-	 
– Հայտատուն հայտի հետ պետք է ներկայացնի արտադրողի հավաստագիր Աղյուսակ–1-ի 1 և 2 կետերով սահմանված ապրանքների վերաբերյալ առ այն, որ ապրանքները նախատեսված են Հայաստանյան շուկայում վաճառքի համար և ունեն պաշտոնական երաշխիք։
-	Բոլոր մատակարարումներն ու աշխատանքները պետք է կատարվեն մինչև 1 հուլիսի 2022թ.
Աղյուսակ 1
1.	Կոմուտատորներ–Ա (2 հատ)
Տեխնիկական բնութագրեր
-	Պորտերի քանակը՝
o	24 x 10/100/1000BASE-T, RJ-45 տիպի միակցիչ
o	4 x 10 ԳԲ SFP+ 
-	Առնվազն մեկ USB 3.0 պորտի առկայություն՝ կրիչների միացման հնարավորությամբ
-	Առնվազն 20 ԳԲ SSD հիշողության առկայություն
-	Առնվազն 2 x 350W սնուցման բլոկի առկայություն՝ տաք փոխարինման հնարավորությամբ (Hot-Swap)
-	Օպերատիվ հիշողություն՝ առնվազն 8 ԳԲ
-	Ֆլեշ հիշողություն՝ առնվազն 16 ԳԲ
-	Փաթեթային բուֆերի հիշողության ծավալը՝ առնվազն 16 ՄԲ
-	FNF գրառումների քանակը՝ առնվազն 64000
-	MAC հասցեների ընդհանուր քանակը՝ առնվազն 32000
-	IPv4  երթուղիների ընդհանուր քանակը՝ առնվազն 32000 (24000 ARP հարցումներ, 8000 երթուղիներ)
-	IPv6 երթուղիների ընդհանուր քանակը՝ առնվազն 16000
-	QoS գրառումների քանակը՝ առնվազն 5120
-	ACL գրառումների քանակը՝ առնվազն 5120
-	VLAN ID-ներ՝ առնվազն 4094
-	SVI ինտերֆեյսների քանակը՝ առնվազն 1000
-	Jumbo frame (9198 բայթ փաթեթներ) հնարավորություն
-	Կոմուտատորի թողունակությունը՝ առնվազն 120 Գբ/վ
-	Կոմուտատորների թողունակությունը ստեկում՝ առնվազն 440 Գբ/վ 
-	Փաթեթների փոխանցման ծավալը՝ առնվազն 90 Միլիոն փաթեթ վայրկյանում
-	Փաթեթների փոխանցման ծավալը ստեկում՝ առնվազն 300 Միլիոն փաթեթ վայրկյանում
-	Ցանցային սարքավորումների արտադրողականության ցուցանիշների և իրադարձությունների լոկալ հսկման հնարավորություն, ինչպես նաև իրադարձությունների վերաբերյալ որոշակի գործողությունների կատարման հնարավորություն, որը ցանցային սարքի հնարավորությունն է, այսինքն՝ այն պետք է աշխատի նույնիսկ արտաքին կապի խափանման դեպքում:
-	Պղնձե մալուխի անսարքությունների ստուգման հնարավորություն՝ արտացոլված ազդանշանների հսկման միջոցով:
-	Ստեկավորում․
o	Ստեկավորման աջակցվող թողունակությունը` առնվազն 320Գբ/վ
o	Միևնույն ստեկում աջակցվող պորտերի քանակը՝ առնվազն 400
-	
Գործառույթներին առաջադրվող պահանջներ
Բազային կոմուտատորային գործառույթներ՝
Layer 2, Routed Access (RIP, EIGRP Stub, OSPF - 1000 routes), PBR, PIM Stub Multicast (1000 routes), PVLAN, VRRP, PBR, CDP, VTP, QoS, FHS, 802.1X, MACsec-128, CoPP, SXP, IP SLA Responder, SSO, BGP, HSRP, IS-IS, BSR, MSDP, PIM-BIDIR, IP SLA, OSPF
Ցանցային սեգմենտացիա՝
VRF, VXLAN, TrustSec, SGT, MPLS, mVPN, L3 VPN, EoMPLS, VPLS
Ավտոմատացում՝
NETCONF, RESTCONF, gRPC, YANG, PnP Agent, ZTP/Open PnP, GuestShell (On-Box Python)
Հեռաչափություն եւ տեսանելիություն (Telemetry and visibility) ՝ 
Model-driven telemetry, SPAN, RSPAN, Full Flexible NetFlow, EEM, ERSPAN, AVC (NBAR2), app hosting (in containers/VMs), Wireshark
Բարձր հասանելիություն եւ դիմացկունություն՝
Nonstop Forwarding (NSF), Graceful Insertion and Removal (GIR), Extended Fast Software Upgrade (xFSU), Software Patching (CLI Based)
IOT ինտեգրացիա՝
AVB, PTP, CoAP
Անվտանգություն՝
MACsec-256, Encrypted Traffic Analytics (ETA), IPSec, BPDU Guard, 
Աջակցվող ստանդարտները՝
STP IEEE 802.1d, MSTP IEEE 802.1s, RSTP IEEE 802.1w, PNAC IEEE 802.1x, PNAC Control IEEE 802.1x-Rev, Authenticated Key Agreement for MACSec 802.1af, IEEE 802.1AE, CoS prioritization IEEE 802.1p,  IEEE 802.1Q VLAN, BPDU Guard, WCCPv2, LISP, DHCP Snooping, ARP Inspection, IP Source Guard, Unicast RPF Check, DHCP Snooping, Option-82 Data Insertion, SGT Tagging, SGACL, IPv6 Snooping, IPv6 Neighbor Discovery, IPv6 Router Advertisement Guard, IPv6 DHCP Guard, IPv6 Source Guard, SUDI
-	Կոմուտատորը պետք է ունենա «Spanning-Tree» պրոտոկոլի root սարքի դերը ադմինիստրատիվ տիրույթից դուրս բերելու փորձերի արգելման հնարավորություն:
-	Պետք է աջակցի Private VLAN  տեխնոլոգիան, Primary, Isolated, Community վիրտուալ ցանցերի տիպերով և Promiscuous, Isolated, Community պորտերի տիպերով:
-	Կոմուտատորը պետք է ամբողջությամբ ապահովի դինամիկ երթուղավորման պրոտոկոլ, որը թույլ է տալիս տրաֆիկը հավասարակշռել տարբեր մետրիկաներով երթուղիների միջև, երթուղիների մետրիկաները հաշվարկում է հաշվի առնելով՝ կապուղիների թողունակությունը, հապաղումը, բեռնվածությունը և հուսալիությունը, և թույլ է տալիս յուրաքանչյուր պարամետրի համար սահմանել կշիռային գործակից:
-	Պետք է ունենա միակողմանի կապերի ավտոմատ հայտնաբերման և արգելափակման գործառույթ:
-	Կոմուտատորը պետք է ունենա տրամաբանական խմբի պորտերի միջև երթևեկությունը հավասարակշռելու ալգորիթմ MAC հասցեների, IP հասցեների՝ սկզբնաղբյուրի և (կամ) նպատակակետի հասցեների միջև:
-	Պետք է ունենա 802.1Q թունելավորման (Q-in-Q) տեխնոլոգիայի աջակցություն:
-	Պետք է ունենա DHCP Relay-ի աջակցություն:
-	GRE և VXLAN տրաֆիկի ապարատային ինկապսուլյացիայի աջակցություն:
-	Պետք է ունենա երթուղավորման L3 աղյուսակի մեկուսացման հնարավորություն:
-	Կոմուտատորը պետք է ունենա տարանցիկ տրաֆիկը վերցնելու և վերլուծելու ներկառուցված գործառույթ:
-	AVC հավելվածի տրաֆիկի ճանաչում NBAR2 սիգնատուրաների հիման վրա:
-	Կոմուտատորը պետք է ունենա ոչ պակաս քան 8 ելքային հերթեր մեկ պորտի համար:
-	Պետք է ունենա WTD, WRED տեխնոլոգիաների աջակցություն:
-	Կոմուտատորը պետք է կարողանա սահմանափակել թողունակությունը օգտագործողի մակարդակում՝ կիրառելով Netflow տեխնոլոգիայի տեղեկատվությունը:
-	Պետք է ունենա multicast DNS հարցումների պրոքսիավորման գործառույթ՝ IP ենթացանցերի միջև այդ հարցումների աշխատանքը ապահովելու համար:
-	Կոմուտատորը պետք է ունենա հիշողության բաշխման պարամետրերը փոխելու հնարավորություն ՝ կախված օգտագործման հատուկ պահանջներից:
-	Կոմուտատորը պետք է ունենա PACL, RACL, VACL տիպի հասանելիության կառավարման ցուցակների (ACL) աջակցություն:
-	Կոմուտատորը պետք է ապահովի նախադրված MAC հասցեներով տրաֆիկի անցանելիության հնարավորությունը: Պետք է նաև ունենա այդ գործառույթը ավտոմատ կարգաբերելու հնարավորություն:
-	Կոմուտատորը պետք է կարողանա սահմանափակել անհայտ MAC հասցեներով սարքերի միացումը ցանցին:
-	Կոմուտատորները պետք է կարողանան ընդգրկվել ենթակառուցվածքում առկա Cisco Catalyst 2960X կոմուտատորների VTP դոմենի մեջ, որն ապահովում է VLAN-ների կենտրոնական կառավարում:
Արտադրողի պաշտոնական երաշխիք՝ 1 տարի
2. Կոմուտատորներ–Բ (14 հատ)
Տեխնիկական բնութագրեր
-	Պորտերի քանակը՝
•	24 x 10/100/1000BASE-T, RJ-45 տիպի միակցիչ
•	4 x 1ԳԲ ֆիքսված RJ-45 պորտեր
-	Օպերատիվ հիշողություն՝ առնվազն 2 ԳԲ
-	Ֆլեշ հիշողություն՝ առնվազն 4 ԳԲ
-	Փաթեթային բուֆերի հիշողության ծավալը՝ առնվազն 6 ՄԲ
-	FNF գրառումների քանակը՝ առնվազն 16000
-	MAC հասցեների ընդհանուր քանակը՝ առնվազն 16000
-	IPv4 երթուղիների ընդհանուր քանակը՝ առնվազն 11000 (8000 ARP հարցումներ, 3000 երթուղիներ)
-	IPv6 երթուղիների ընդհանուր քանակը՝ առնվազն 1500
-	QoS գրառումների քանակը՝ առնվազն 1000
-	ACL գրառումների քանակը՝ առնվազն 1500
-	VLAN ID-ներ՝ առնվազն 4094
-	SVI ինտերֆեյսների քանակը՝ առնվազն 512 
-	Jumbo frame (9198 բայթ փաթեթներ) հնարավորություն
-	Կոմուտատորի թողունակությունը՝ առնվազն 50 Գբ/վ
-	Կոմուտատորների թողունակությունը ստեկում՝ առնվազն 130 Գբ/վ
-	Փաթեթների փոխանցման չափը՝ առնվազն 40 Միլիոն փաթեթ վայրկյանում
-	Փաթեթների փոխանցման չափը ստեկում՝ առնվազն 100 Միլիոն փաթեթ վայրկյանում
-	Ցանցային սարքավորումների արտադրողականության ցուցանիշների և իրադարձությունների լոկալ հսկման հնարավորություն, ինչպես նաև այս կամ այն իրադարձությունների վերաբերյալ որոշակի գործողությունների կատարման հնարավորություն: Գործառույթը տեղային ցանցային սարքի հնարավորությունն է, այսինքն պետք է աշխատի նույնիսկ եթե կապը խափանվի:
-	Պղնձե մալուխի հնարավոր անսարքությունների ստուգման հնարավորություն՝ արտացոլված ազդանշանների հսկման միջոցով:
Գործառույթներին առաջադրվող պահանջներ
Բազային կոմուտատորային գործառույթներ՝
Layer 2, Routed Access (EIGRP-Stub, RIP, OSPF - 1000 routes), PBR, PIM Stub Multicast (1000 routes)), PVLAN, VRRP, PBR, CDP, VTP, QoS, FHS, 802.1X, MACsec-128, CoPP, SXP, IP SLA Responder, SSO
Կոմուտատորի այլ գործառույթներ (առկա է հավելյալ լիզենցիայի պարագայում)՝
BGP, HSRP, IS-IS, BSR, MSDP, PIM-BIDIR, IP SLA, OSPF
Ցանցային սեգմենտացիա (առկա է հավելյալ լիցենզիայի պարագայում)՝
VRF, VXLAN, TrustSec, SGT, MPLS, mVPN, L3 VPN, EoMPLS, VPLS
Ավտոմատացում՝
NETCONF, RESTCONF, gRPC, YANG, PnP Agent, PnP
Հեռաչափություն եւ տեսանելիություն՝ (Telemetry and visibility)
Model-driven telemetry, SPAN, RSPAN, Full Flexible NetFlow, EEM
Օպտիմիզացված հեռաչափություն եւ տեսանելիություն՝ (առկա է հավելյալ լիցենզիայի պարագայում)
AVC (NBAR2)
Աջակցվող ստանդարտները՝
STP IEEE 802.1d, MSTP IEEE 802.1s, RSTP IEEE 802.1w, PNAC IEEE 802.1x, PNAC Control IEEE 802.1x-Rev, Authenticated Key Agreement for MACSec 802.1af, CoS prioritization IEEE 802.1p, IEEE 802.1Q VLAN, MACsec Key Agreement (MKA)
-	Համապատասխան լիցենզիայի առկայության դեպքում կոմուտատորը պետք է ամբողջությամբ ապահովի դինամիկ երթուղավորման պրոտոկոլ, որը թույլ է տալիս տրաֆիկը հավասարակշռել տարբեր մետրիկաներով երթուղիների միջև, երթուղիների մետրիկաները հաշվարկում է հաշվի առնելով՝ կապուղիների թողունակությունը, հապաղումը, բեռնվածությունը և հուսալիությունը, և թույլ է տալիս յուրաքանչյուր պարամետրի համար սահմանել կշիռային գործակից:
-	Կոմուտատորը պետք է ունենա «Spanning-Tree» պրոտոկոլի root սարքի դերը ադմինիստրատիվ տիրույթից դուրս բերելու փորձերի արգելման հնարավորություն:
-	Պետք է աջակցի Private VLAN տեխնոլոգիան:
-	Պետք է ունենա DHCP Relay-ի աջակցություն:
-	Կոմուտատորը պետք է ունենա տարանցիկ տրաֆիկը վերցնելու և վերլուծելու ներկառուցված գործառույթ:
-	Կոմուտատորը պետք է կարողանա սահմանափակել թողունակությունը օգտագործողի մակարդակում՝ կիրառելով Netflow տեխնոլոգիայի տեղեկատվությունը:
-	Կոմուտատորը պետք է ունենա PACL, RACL, VACL տիպի հասանելիության կառավարման ցուցակների (ACL) աջակցություն:
-	Կոմուտատորը պետք է ապահովի միայն նախադրված MAC հասցեներով տրաֆիկի անցանելիության հնարավորությունը: Պետք է նաև ունենա այդ գործառույթը ավտոմատ կարգաբերելու հնարավորություն:
-	Կոմուտատորը պետք է կարողանա սահմանափակել անհայտ MAC հասցեներով սարքերի միացումը ցանցին:
-	Կոմուտատորները պետք է կարողանան ընդգրկվել ենթակառուցվածքում առկա Cisco Catalyst 2960X կոմուտատորների VTP դոմենի մեջ, որն ապահովում է VLAN-ների կենտրոնական կառավարում:
Արտադրողի պաշտոնական երաշխիք՝ 1 տարի
Պատվիրատուի համակարգչային ցանցի արդիականացման ողջ գործընթացի կառավարումը հստակեցնելու, արդյունավետությունը բարձրացնելու նպատակով որոշում է կայացվել սարքավորումների մատակարարման ու գործարկման–կարգաբերման գործընթացները միմյանցից չտարանջատել, որպեսզի հնարավոր լինի խուսափել մատակարարում–տեղադրում–գործարկում–կարգաբերում–համակցում ընթացքում պատասխանատվությունների բացերից և ապահովել ողջ գործընթացի անընդհատությունը։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01.07.2022թ.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արդիականացում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