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2024.04.27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приобретении топлива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Համբարձումյան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ani.hambardzumyan@yerevan.am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011514374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ԵՔ-ԷԱՃԱՊՁԲ-24/138</w:t>
      </w:r>
      <w:r w:rsidRPr="00F32D53">
        <w:rPr>
          <w:rFonts w:ascii="Calibri" w:hAnsi="Calibri" w:cstheme="minorHAnsi"/>
          <w:i/>
        </w:rPr>
        <w:br/>
      </w:r>
      <w:r w:rsidRPr="00F32D53">
        <w:rPr>
          <w:rFonts w:ascii="Calibri" w:hAnsi="Calibri" w:cstheme="minorHAnsi"/>
          <w:szCs w:val="20"/>
          <w:lang w:val="af-ZA"/>
        </w:rPr>
        <w:t>2024.04.27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приобретении топлива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приобретении топлива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ԵՔ-ԷԱՃԱՊՁԲ-24/138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ani.hambardzumyan@yerevan.am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приобретении топлива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387.81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4.17</w:t>
      </w:r>
      <w:r w:rsidRPr="00F32D53">
        <w:rPr>
          <w:rFonts w:ascii="Calibri" w:hAnsi="Calibri" w:cstheme="minorHAnsi"/>
          <w:szCs w:val="22"/>
        </w:rPr>
        <w:t xml:space="preserve"> драмом, евро </w:t>
      </w:r>
      <w:r w:rsidR="00991780" w:rsidRPr="00F32D53">
        <w:rPr>
          <w:rFonts w:ascii="Calibri" w:hAnsi="Calibri" w:cstheme="minorHAnsi"/>
          <w:lang w:val="af-ZA"/>
        </w:rPr>
        <w:t>415.62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2024.05.17.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ԵՔ-ԷԱՃԱՊՁԲ-24/138</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ԵՔ-ԷԱՃԱՊՁԲ-24/138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'ԵՔ-ԷԱՃԱՊՁԲ-24/138'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ԵՔ-ԷԱՃԱՊՁԲ-24/138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"ԵՔ-ԷԱՃԱՊՁԲ-24/138"*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ԵՔ-ԷԱՃԱՊՁԲ-24/138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ԵՔ-ԷԱՃԱՊՁԲ-24/138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Внешный вид – чистый и прозрачный. Октановое число определенный по исследовательскому методу – не менее 91, по моторному методу – не менее 81, давление насущееных паров – от 45 до 100 кПа, концентрация свинца - не более 5мг/дм3, объемная доля бензола – не более 1%, плотность при 15°C – от 720 до 775 кг/м3, концентрация серы – не более 10 мг/кг, массовая доля кислорода – не более 2,7%, объемная доля оксигенатов, не более: метанол – 3%, этанол - 5%, изопропиловый спирт – 10%, изобутиловый спирт – 10%, третбутиловый спирт – 7%, эфиры (C5 и другие) – 15%, другие оксигенаты – 10%, безопасность, маркировка и упаковка – согласно “Техническому регламенту топлива для двигателей внутренного сгорания”, утвержденным Решением Правительства РА N 1592-Н от 11 ноября 2004г. Конкретный день поставки определяется покупателем посредством предварительного заказа (не позднее чем за 2 рабочих дня до поставки) по официальному электронному письму продавца. утвержденный заказ-задание, представленное покупателем на почту.  Продавец обязан поставить товар Получателю. Поставка Товара талонами. Поставщик обязан обслуживать Заказчика не менее в 2-х бензозаправочных станциях, расположенных во всех административных районах города Еревана.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 1.1 в приложении указано меню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поставки товара после вступления контракта в силу, с учетом срока поставки этапа 1: 20 календарных дней /но не ранее 01.07.2024 г./:. Срок поставки товара: до 25.12.2024 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