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սոսինձների և ներկերի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սոսինձների և ներկերի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սոսինձների և ներկերի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սոսինձների և ներկերի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պոլիվինիլացիտատային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աէրոզոլային նախատեսված փայտի բոլոր տեսակների, ինչպիսիք են՝  MDF, DSP և այլնի համար։ Սոսնձում է կաշվե իրեր, ինչպես նաև ռետինե, ապակե, ալյումինե և պլաստմասե։ Հավաքածուն բաղկացած է մածուցիկ ցիանոակրիլատ գելից և ակտիվացնող սփրեյից: Կազմված 2 կտորից՝ սոսինձ+արագ չորացնող սփրեյ առնվազն 200մլ+50մլ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նախատեսված փայտի և երկաթի համար, պատրաստված նիտրո ցելյուլոզային հիմքի վրա: 1 լիտր ներկը մեկ շերտով պետք է ներկի 7-9 քմ տարածք, լիարժեք չորացումը 2-3 ժամ, սպիտակ գույն: Մատակարարը պետք է մատակարարի ապրանքը  1 կգ տարողությամբ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 ներկ, գույնը՝ սպիտակ, ներքին օգտագործման ծածկողականությունը 125-150 գ/մ2 ջրային հիմքով, պահպանման ժամկետ 24 ամիս արտադրման օրվանից, լվացվող: Ապրանքի մատակարարումը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