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ԵՔ-ԷԱՃԱՊՁԲ-25/160</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Норк-Мараш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изготавливается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РА № 1795-Н от 16 декабря 2004 года, в пластиковой таре емкостью 0,5 л.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латунный, длина: 9 см, вес: не менее 180 грамм.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мешок, легко собирает мусор, размер: 21X21 см.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сухой вес (350-500) грамм, длина (85-90) см, ширина подметающей части (35-40) см.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для уборки летняя и зимняя, хлопок. Размеры по согласованию.
С клиентом: выбор участником марки продукта
Указание не является обязательным.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с пластиковой ручкой, предназначен для чистки унитазов.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емкость 160 литров, не менее 15 штук в коробке, черного или других цветов. Доставка и разгрузка продукции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и зимняя форма для уборки из хлопка. Размеры и фасон согласовываются с заказчиком. Участнику не обязательно указывать марку товара.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классический (кипительник), материал: пластик + сталь, мощность 500 Вт.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окон с выдвижным сменным блоком и кабелем длиной 1,20 м с выдвижным скребком для мытья окон. С одной стороны должна быть губка, с другой — скребок. С выдвижной ручкой, в открытом состоянии 1,31 см, ширина губки составляет 29 см. Доставка и разгрузка товара по указанному адресу должна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