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03B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269A3761" w14:textId="5FC2211D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</w:t>
      </w:r>
      <w:r w:rsidR="00A72064">
        <w:rPr>
          <w:rFonts w:ascii="Calibri" w:hAnsi="Calibri" w:cs="Calibri"/>
          <w:b/>
          <w:lang w:val="hy-AM"/>
        </w:rPr>
        <w:t>25/195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54B3FCF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26502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DBAB3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304312C0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8332013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7C6247F3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616F2751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004439F4" w14:textId="20EDCC43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</w:t>
      </w:r>
      <w:r w:rsidR="00A72064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25/195</w:t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</w:p>
    <w:p w14:paraId="546FEBDA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64B7FC76" w14:textId="76177C94" w:rsidR="00010781" w:rsidRPr="00010781" w:rsidRDefault="007F4834" w:rsidP="007F483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="00010781" w:rsidRPr="00010781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15D232C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D1AFC77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3F5444E3" w14:textId="4C5C6006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</w:t>
      </w:r>
      <w:r w:rsidRPr="00010781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1EE38DCF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AC413C5" w14:textId="52F979AE" w:rsidR="00010781" w:rsidRPr="00010781" w:rsidRDefault="00B6368A" w:rsidP="00B6368A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</w:t>
      </w:r>
      <w:r w:rsidR="00010781" w:rsidRPr="00010781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33533AF5" w14:textId="7B396ECD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 </w:t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</w:t>
      </w:r>
    </w:p>
    <w:p w14:paraId="1B09A83E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5C8800D4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894A89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2A14B86B" w14:textId="31D6D34B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</w:t>
      </w:r>
      <w:r w:rsidR="001427F4">
        <w:rPr>
          <w:rFonts w:ascii="Calibri" w:hAnsi="Calibri" w:cs="Calibri"/>
          <w:vertAlign w:val="superscript"/>
          <w:lang w:val="hy-AM"/>
        </w:rPr>
        <w:t xml:space="preserve">     </w:t>
      </w:r>
      <w:r>
        <w:rPr>
          <w:rFonts w:ascii="Calibri" w:hAnsi="Calibri" w:cs="Calibri"/>
          <w:vertAlign w:val="superscript"/>
          <w:lang w:val="hy-AM"/>
        </w:rPr>
        <w:t xml:space="preserve">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77F3BB9B" w14:textId="013C25F0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="00A72064">
        <w:rPr>
          <w:rFonts w:ascii="Calibri" w:hAnsi="Calibri" w:cs="Calibri"/>
          <w:color w:val="000000"/>
          <w:sz w:val="20"/>
          <w:szCs w:val="20"/>
          <w:lang w:val="hy-AM"/>
        </w:rPr>
        <w:t>իննսուն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</w:t>
      </w:r>
      <w:r w:rsidR="00A7206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hyperlink r:id="rId4" w:history="1">
        <w:r w:rsidR="00A72064" w:rsidRPr="00D742F1">
          <w:rPr>
            <w:rStyle w:val="Hyperlink"/>
            <w:rFonts w:ascii="Calibri" w:hAnsi="Calibri" w:cs="Calibri"/>
            <w:sz w:val="20"/>
            <w:szCs w:val="20"/>
            <w:lang w:val="hy-AM"/>
          </w:rPr>
          <w:t>tatevik.manukyan@yerevan.am</w:t>
        </w:r>
      </w:hyperlink>
      <w:r w:rsidR="00A7206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5C7128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7C217A9B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2B69935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C45E3A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03AFA8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1A9A86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4ADE9B6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EEB956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4ECE6EC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07D69AA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464B8BA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B387667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202342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03B0B21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CAD0256" w14:textId="77777777" w:rsidR="00010781" w:rsidRPr="00857ECA" w:rsidRDefault="00010781" w:rsidP="00010781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43F58E4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6375752" w14:textId="7CC11FDC" w:rsidR="00E73D7F" w:rsidRPr="003C2E78" w:rsidRDefault="00010781" w:rsidP="00010781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010781"/>
    <w:rsid w:val="000B190D"/>
    <w:rsid w:val="000E48C9"/>
    <w:rsid w:val="001427F4"/>
    <w:rsid w:val="002A7ADD"/>
    <w:rsid w:val="003C2E78"/>
    <w:rsid w:val="0041348A"/>
    <w:rsid w:val="00525055"/>
    <w:rsid w:val="005640FA"/>
    <w:rsid w:val="005B4B19"/>
    <w:rsid w:val="00631480"/>
    <w:rsid w:val="006E352F"/>
    <w:rsid w:val="00740CEE"/>
    <w:rsid w:val="007F4834"/>
    <w:rsid w:val="008D2BDE"/>
    <w:rsid w:val="009D44A2"/>
    <w:rsid w:val="00A03360"/>
    <w:rsid w:val="00A72064"/>
    <w:rsid w:val="00B6368A"/>
    <w:rsid w:val="00BA2678"/>
    <w:rsid w:val="00C57C06"/>
    <w:rsid w:val="00D46DA0"/>
    <w:rsid w:val="00D77828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.manuk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gnumner 20</cp:lastModifiedBy>
  <cp:revision>7</cp:revision>
  <dcterms:created xsi:type="dcterms:W3CDTF">2025-05-15T08:19:00Z</dcterms:created>
  <dcterms:modified xsi:type="dcterms:W3CDTF">2025-05-23T11:41:00Z</dcterms:modified>
</cp:coreProperties>
</file>