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Նարինե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narine.ghazaryan@yerevan.am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ԵՔ-ԷԱՃԱՊՁԲ-25/341</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narine.ghazaryan@yerevan.am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предусмотренных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предусмотренных предыдущим договором, в полном объеме. При этом Продавец заключает договор и представляет его Заказчику в течение десяти рабочих дней со дня получения уведомления о заключении договора. В противном случае договор расторгается Заказчиком в одностороннем порядке. 8.16 Права и обязанности Покупателя, предусмотренные настоящим договором, реализуются Отделом снабжения и технического обслуживания Аппарата мэрии г. Еревана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Центральный процессор (CPU)
Intel® Core™ i9-14900KF – 24 ядра (8 производительных + 16 эффективных), 32 потока, базовая частота до 6.0 ГГц, 36 MB Smart Cache. Обеспечивает сверхмощную многопоточную производительность как для игр, так и для сложных инженерных/композитных вычислений.
Система охлаждения
ID-Cooling SL360 Liquid Cooling System – жидкостное охлаждение с радиатором 360 мм, тройными PWM RGB вентиляторами, высокой теплопроводностью для стабильного температурного режима и возможностью разгона (overclocking).
Материнская плата (Motherboard)
ASUS PRIME Z790-P или Gigabyte, или MSI
WiFi DDR5 – чипсет Intel Z790, разъем LGA1700, поддержка памяти DDR5 до 7200 MHz (OC), графический слот PCIe 5.0 x16, встроенные Wi-Fi 6 и Bluetooth® 5.2.
Оперативная память (RAM)
Kingston, Crucial или Corsair
RGB DDR5 64 GB (2×32 GB) 5200 MHz CL40 – высокая пропускная способность и поддержка автоматических XMP 3.0 профилей, адресная RGB-подсветка.
Основное хранилище данных
Kingston, Samsung или Crucial
NV3 1 TB M.2 PCIe 4.0 NVMe SSD – скорость чтения до 3500 MB/s и записи до 2100 MB/s, высокая надежность и энергоэффективность.
Дополнительное хранилище данных
Seagate Barracuda, Western Digital или Toshiba
4 TB SATA III HDD, 5400 RPM – для хранения больших объемов медиафайлов и архивов, 256 MB кэш.
Графический процессор (GPU)
Dual GeForce RTX™ 5070 12 GB GDDR7 OC Edition – поддержка технологий Ray Tracing и DLSS 3.0, высокая частота кадров (FPS) при 4K-разрешении.
Блок питания (PSU)
Cougar, Seasonic Focus или EVGA SuperNOVA
Мощность 850 Вт, сертификат эффективности 80 Plus Gold, поддержка ATX 3.1 и PCIe 5.1, полностью модульная система кабелей.
Корпус (Case)
Cougar FV150 RGB Black Mid-Tower или NZXT, или Corsair
Стальная конструкция, 4×120 мм ARGB вентиляторы, боковое окно из закаленного стекла, отличная вентиляция и эстетичный дизайн.
Операционная система
Microsoft Windows 11 Pro, 64-bit – с современными функциями безопасности и производительности.
Монитор
11. HP OMEN, DELL или Samsung
34" VA-панель, Ultra-Wide QHD (3440×1440), частота обновления 165 Гц, время отклика 1 мс, поддержка Adaptive-Sync, входы 2×HDMI 2.1 и 1×DisplayPort 1.4.
Клавиатура
A4Tech Bloody S98 Sports Lime BLMS Plus или HP, или DELL
Механическая игровая клавиатура с многоцветной RGB-подсветкой и прочными переключателями (switch).
Мышь
A4Tech Bloody J95s Stone Black Activated, Alienware AW420K или HP
9 программируемых кнопок, точность до 16,000 DPI, регулируемая RGB-подсветка.
Условия поставки:
Перевозку и разгрузку товара осуществляет поставщик за свой счет и своими средствами, доставка до складского хозяйства Заказчика в г. Ереван по указанному адресу Заказчика.
Гарантия: не менее 365 дней.
В течение гарантийного срока все выявленные неисправности поставщик обязан устранить или заменить товар новым в течение 3–5 дней, обеспечив транспортировку изделия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(договора)конктракта в  силу в течение 21 календарного дня с момента, установленного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