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ավտոմեքենաների համար 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ավտոմեքենաների համար 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ավտոմեքենաների համար 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ավտոմեքենաների համար 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Քանաքեռ-Զեյթուն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195/70 R15C թեթև բեռնատար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R(170), բեռնվածության ինդեքսը՝ ոչ պակաս 104/102(900/850 կգ), անվադողի արտադրության տարեթիվը 2024 թ.-2025 թ.: Չօգտագործված: Անվադողի նշադրումը, մակնշումը և տեխնիկական առանձնահատկությունները պետք է համապատասխանեն ՀՍՏ 183-99 պահանջներին։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 R16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ոչ պակաս 94(670 կգ), անվադողի արտադրության տարեթիվը 2024 թ.-2025 թ.: Չօգտագործված: Անվադողի նշադրումը, մակնշումը և տեխնիկական առանձնահատկությունները պետք է համապատասխանեն ՀՍՏ 183-99 պահանջներին։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215/55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ոչ պակաս 94(670 կգ), անվադողի արտադրության տարեթիվը 2024 թ.-2025 թ.: Չօգտագործված: Անվադողի նշադրումը, մակնշումը և տեխնիկական առանձնահատկությունները պետք է համապատասխանեն ՀՍՏ 183-99 պահանջներին։ Փոխադրումը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