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մոնիտորների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մոնիտորների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մոնիտորների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մոնիտորների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դույմ LED/IPS   Displayport և HDMI-1 մուտքեր, Էկրանի ֆորմատը՝ 16:9, էկրանի կետայնությունը՝ 2560x1440, էկրանի տեսակը՝ հարթ, էկրանի ծածկույթը՝ Anti-Glare /անփայլ/, Հաճախականությունը 60-100hz., ներկառուցված բարձրախոսներ, էկրանի թեքության կարգավորմամբ, դիզայնը՝ եռակողմ առանց շրջանակի: 
Ապրանքը պետք է ունենա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