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ամառային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ամառային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ամառային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ամառային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համազգեստը  բաղկացած 1 հատ բաճկոնից, 2 հատ տաբատից, 2 հատ շապիկ, 1 հատ կեպիից, 1 զույգ կարճաճիտք աշխատանքային կոշիկից 
Ամառային հագուստի լրակազմը /42-64 չափսի՝ չափսային աղյուսակի համապատասխանությունը համաձայնեցվում է Պատվիրատուի պահանջների հետ/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Բաճկոնի բոլոր միացման կարերը մշակված են 5 թելանի մեքենայով։ Թևատեղերը և ուսի կարերը մշակվում են զույգ կարերով: Երկարությունը գոտկատեղից 7-12 սմ ներքև:  Բաճկոնը երկլանջ ծալովի օձիքով է, օձիքի վրա կտորե կախիչ և պիտակ՝ տեսականու չափսի մասին նշումով: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7 սմ երկարությամբ 3 հատ ինքնակպչուն ժապավեններով: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լուսաանդրադարձման գործակիցը 60°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«ԱՋԱՓՆՅԱԿ» անվանումը,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լրացուցիչհամաձայնեցվում են պատվիրատուի հետ: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լուսաանդրադարձման գործակիցը 60°C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Կեպին կարվում է մուգ կապույտ գույնի կտորից, ներսի մասում ինքնասոսնձվողոչ գործվածքային կտորից, ուժեղացված գլխարկահովհարով, դիմային հատվածում ասեղնագործման կամ դաջման եղանակովգրվում է «ԱՋԱՓՆՅԱԿ»  անվանումը: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մուգ կապույտն է  (գույնի կոդը 19-3920TCX),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«ԱՋԱՓՆՅԱԿ» անվանումը կամ անվանման հապավումը: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Աշխատանքային կարճաճիտք կոշիկը /չափսերը 37-46/ նախատեսված աշխատակիցների անվտանգության ապահովման համար: Կոշիկը կարճաճիտք է, արտաքին տեսքը սպորտային ոճի, թեթև,  հարմար ամենօրյա կրման համար: Կոշիկը բաղկացած է կոշկերեսի երեսամասից, հետնամասից, կարճ ճտքային փափուկ եզրակից, լեզվակից, հիմնական ներդիրից, ներբանից: Կոշիկի երեսամասը, հետնամասը, ճտքի եզրակի  և լեզվակի արտաքին շերտերը արտադրվում են 1.3 – 1.5 մմ հաստությամբ բնական SOFT տեսակի հարթ կաշվից՝  սև գույնի, առանց նակատի  (արգելվում է օգտագործել սպիլոկ կամ խոզի կաշի): Առաջամասը մշակվում է հինգ դետալներից, որոնք միանում են միմյանց զույգ կարերով՝ մշակված հատուկ զույգ կարի մեքենայով: Առաջամասը միանում է վերին փափուկ եզրակին և ետևամասի ձևավոր դետալին ևս զույգ կարերով՝ մշակված հատուկ զույգ կարի մեքենայով: Կոշիկի կապումն իրականացվում է սև գույնի քուղերով՝ որոնք անցնում են 5 զույգ մետաղական փոլակներով: Քուղերը անջրանցիկ նյութից են՝  վերջամասը թերմոմշակում անցած 1.5սմ: Լեզվակը և ճտքային վերին փափուկ եզրակը մշակվում են եռաշերտ փաթեթով՝ վերին շերտը բնական կաշի, ներսի շերտը ոչխարի կաշի, իսկ մեջտեղում տեղադրված է սպունգանման  նյութ: Կոշիկը ներսից ամբողջությամբ լրացուցիչ մշակվում է ոչ գործվածքային սոսնձապատ միջնապաստառով և ոչխարի նրբակաշվով: Քթամասում և կրնկամասը ներսից մշակվում են 1.2 - 1.4մմ հաստության թերմոպլաստե նյութով: Հիմնական ներդիրը բաղկացած է իրար  սոսնձով կարակցված, առնվազն 1.8 – 2.2 մմ հաստության բնական հումքից՝ պադոշից և կոշիկի համար նախատեսված 1.8մմ հաստության ստվարաթղթից, որոնց մեջտեղում տեղադրվում է մետաղական սուպինատոր: Արտաքին ներբանը պատրաստված է մաշակայուն, ջերմակայուն և ցրտադիմացկուն առաջին կարգի պոլիվինիլքլորիդեից՝ արտահայտված պաշպանաշերտով: Կոշիկի տակամասի ամրեցման ամրությունը համաձայն ԳՕՍՏ 9292-82, իսկ ճկունությունը համաձայն ԳՕՍՏ 9718-88: Արտաքին ներբանը կոշիկին միանում է սոսնձման եղանակով, բարձր ճնշման տակ: Ներբանի արտաքին տեսքը և գույնը  համաձայնցեվում են պատվիրատուի հետ: Կոշիկները  պետք է արտադրված լինեն 2026թ-ից ոչ շուտ: Կոշիկի լեզվակի արտաքին հատվածի վրա կարվում է սև գույնի արհեստական թավշյա կտոր, որի վրա տպվում է ԱՋԱՓՆՅԱԿ վարչական շրջանի անվանման հապավումը:
Փաթեթավորումը՝ յուրաքանչյուր զույգը անհատական փաթեթավորմամբ, յուրաքանչյուր  10-12 զույգ տեղադրվում են մեկ արտաքին ստվարաթղթե արկղի մեջ: Արկղերը` պիտակավորված, պիտակների վրա պետք է նշված լինի տեսականու անվանումը, քանակը, չափսերը, մատակարար կազմակերպության անվանումը, արտադրման ամիսը և տարեթիվը: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