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ԵՔ-ԷԱՃԱՊՁԲ-26/87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шины и моторное масло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ԵՔ-ԷԱՃԱՊՁԲ-26/87</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шины и моторное масло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шины и моторное масло</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ԵՔ-ԷԱՃԱՊՁԲ-26/87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шины и моторное масло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"ԵՔ-ԷԱՃԱՊՁԲ-26/87"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ԵՔ-ԷԱՃԱՊՁԲ-26/87*.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"ԵՔ-ԷԱՃԱՊՁԲ-26/87"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ԵՔ-ԷԱՃԱՊՁԲ-26/87*.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ԵՔ-ԷԱՃԱՊՁԲ-26/87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установленном законодательством Республики Армения порядке осуществляет аппарат руководителя административного района Кентрон.</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предназначенные для зимнего использования. 215*/55* R17*. год производства: минимум год, предшествующий году поставки.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предназначенные для зимнего использования. 215*/60* R16*. год производства: минимум год, предшествующий году поставки. транспортировка и разгрузка товара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предназначенные для зимнего использования. 195*/70* R15C* կամ  195*/70* R15LT* год производства: минимум год, предшествующий году поставки. транспортировка и разгрузка товара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полусинтетическое 10W40 в канистрах емкостью 1-5 л марки» Равенол«,» Карлуб «или» Свег". для бензиновых и дизельных двигателей All-Climate, в соответствии с классом API-SG/CD, вязкость: 100oC – 14-15,5 мм2 / с, индекс вязкости-более 155, вязкость: МПа.HS-30oC-6375-7000, температура замерзания: – - не выше 35 ° C, плотность 20 ° C – На этикетке указано название производителя, информация о производстве и хранении. заводского производства. товар должен быть новым, неиспользованным и без брака. транспортировка и обращение с товаром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в 2-тактных канистрах емкостью 1-5 л , марки Hather, Kansler или Ravenol, синтетическое моторное масло для двухтактных двигателей на основе специальных сложных эфиров и полиизобутилена (PIB) как с воздушным, так и с водяным охлаждением. подходит для смешанных и раздельных систем смазки. год выпуска: не ранее 2025 года, боится возгорания, упаковка:в контейнерах с маркировкой, заводское герметично закрытый: на этикетке указано название производителя, информация о производстве и хранении. заводского производства. товар должен быть новым, неиспользованным и без брака: Транспортировка и обработка товара осуществляется продавцом за свой счет и за свой счет. согласовать образец с Заказчиком перед поставкой: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