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N4 - մեկանգամյա օգտագործման, գործարանային փաթեթավորմամբ, փաթեթում առնվազն 44 հատ, նախատեսված 7-11կգ քաշով երեխաների համար: Լրիվ խոնավակլանումը ոչ պակաս 160գ-270գ,  ներծծման ժամանակը ոչ ավելի 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N5 - մեկանգամյա օգտագործման, գործարանային փաթեթավորմամբ, փաթեթում առնվազն 44 հատ, նախատեսված 10-14կգ քաշով երեխաների համար: Լրիվ խոնավակլանումը ոչ պակաս 160գ-270գ,  ներծծման ժամանակը ոչ ավելի 3վ: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N6 - մեկանգամյա օգտագործման, գործարանային փաթեթավորմամբ, փաթեթում առնվազն 30 հատ, նախատեսված 13-20կգ քաշով երեխաների համար: Լրիվ խոնավակլանումը ոչ պակաս 160գ-270գ,  ներծծման ժամանակը ոչ ավելի 3վ: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15․08․2026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15․08․2026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15․08․2026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տակդիր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