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Աթոռը/բրիֆինգ/ պետք է նախատեսված լինի գրասենյակային և սպասասրահային օգտագործման համար, ունենա ժամանակակից  դիզայն։ Նստատեղի և մեջքի հատվածի պաստառը պետք է պատրաստված լինի բարձրորակ կաշվի փոխարինող նյութից, մաշվածքին դիմացկուն և հեշտ մաքրվող։ Կարկասը պետք է լինի մետաղական, ամուր և կայուն կառուցվածքով։ Արմունկները պետք է լինեն մետաղյա։ Ոտքերը պետք է լինեն ֆիքսված մետաղական, ապահովելով աթոռի կայունությունը և անվտանգ շահագործումը։ Մետաղական հատվածները պետք է պատված լինեն պաշտպանիչ շերտով (փոշեներկ), կոռոզիայից պաշտպանված։ Աթոռը պետք է լինի նոր, չօգտագործված վիճակում։ Գույնը՝ պետք է  համաձայնեցվի Գնորդի հետ։
Ապրանքների մատակարարումը և պահեստավորումը Գնորդի կողմից նշված հասցե կատարում է Վաճառողը:
Արտաքին տեսքը՝ համաձայն նկարի: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Լրագրասեղանը պետք է լինի ժամանակակից դիզայնով, նախատեսված ներքին օգտագործման համար։ Սեղանի վերին մակերեսը պետք է պատրաստված լինի թրծված (tempered) ապակուց՝ առնվազն 5-8 մմ հաստությամբ, հարվածների և քերծվածքների նկատմամբ դիմացկուն։ Սեղանը պետք է ունենա ներքևի լրացուցիչ ապակյա դարակ՝ նախատեսված ամսագրերի, գրքերի կամ այլ պարագաների պահպանման համար։ Սեղանի կառուցվածքը պետք է լինի մետաղական (պողպատե շրջանակ), պատված սև գույնի փոշեներկով, ապահովված կոռոզիայից պաշտպանությամբ։ Սեղանը պետք է լինի կայուն, ամուր և հարմարավետ օգտագործման համար։ Չափերը պետք է լինեն առնվազն՝ երկարություն 80-100 սմ, լայնություն 50-60 սմ, բարձրություն 40-45 սմ։ Գույնը՝ պետք է  համաձայնեցվի Գնորդի հետ։ Ապրանքի մատակարարումը և պահեստավորումը Գնորդի կողմից նշված հասցե կատարում է Վաճառողը:
Արտաքին տեսքը՝ համաձայն նկարի: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