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ԵՔ-ԷԱՃԱՊՁԲ-26/311</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осуществляются аппаратом главы административного района Ачапняк.</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(брифинг) должен быть предназначен для офисного и приёмного использования иметь современный дизайн обивка сиденья и спинки должна быть выполнена из высококачественного кожзаменителя устойчивого к износу и легко очищаемого каркас должен быть металлическим прочным и устойчивым подлокотники металлические ножки фиксированные металлические обеспечивающие устойчивость и безопасную эксплуатацию металлические части должны быть покрыты защитным слоем (порошковое покрытие) с защитой от коррозии.Стул должен быть новым неиспользованным.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 должен быть современного дизайна предназначен для внутреннего использования верхняя поверхность стола должна быть выполнена из закалённого (tempered) стекла толщиной не менее 5–8 мм устойчивого к ударам и царапинам стол должен иметь дополнительную нижнюю стеклянную полку предназначенную для хранения журналов книг или других предметов конструкция стола должна быть металлической (стальной каркас) с покрытием чёрной порошковой краской с защитой от коррозии стол должен быть устойчивым прочным и удобным в эксплуатации размеры примерно длина 80–100 см ширина 50–60 см высота 40–45 см.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улица,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улица,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